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649" w:rsidRPr="00245649" w:rsidRDefault="00245649" w:rsidP="00245649">
      <w:pPr>
        <w:shd w:val="clear" w:color="auto" w:fill="FEFEFE"/>
        <w:spacing w:after="0" w:line="240" w:lineRule="auto"/>
        <w:outlineLvl w:val="0"/>
        <w:rPr>
          <w:rFonts w:ascii="Microsoft Sans Serif" w:eastAsia="Times New Roman" w:hAnsi="Microsoft Sans Serif" w:cs="Microsoft Sans Serif"/>
          <w:b/>
          <w:bCs/>
          <w:caps/>
          <w:color w:val="00267E"/>
          <w:kern w:val="36"/>
          <w:sz w:val="69"/>
          <w:szCs w:val="69"/>
          <w:lang w:eastAsia="es-MX"/>
        </w:rPr>
      </w:pPr>
      <w:r w:rsidRPr="00245649">
        <w:rPr>
          <w:rFonts w:ascii="Microsoft Sans Serif" w:eastAsia="Times New Roman" w:hAnsi="Microsoft Sans Serif" w:cs="Microsoft Sans Serif"/>
          <w:b/>
          <w:bCs/>
          <w:caps/>
          <w:color w:val="00267E"/>
          <w:kern w:val="36"/>
          <w:sz w:val="69"/>
          <w:szCs w:val="69"/>
          <w:lang w:eastAsia="es-MX"/>
        </w:rPr>
        <w:t>CICLO CELULAR</w:t>
      </w:r>
    </w:p>
    <w:p w:rsidR="00245649" w:rsidRPr="00245649" w:rsidRDefault="00245649" w:rsidP="00245649">
      <w:pPr>
        <w:shd w:val="clear" w:color="auto" w:fill="FEFEFE"/>
        <w:spacing w:after="0" w:line="240" w:lineRule="auto"/>
        <w:rPr>
          <w:rFonts w:ascii="Arial" w:eastAsia="Times New Roman" w:hAnsi="Arial" w:cs="Arial"/>
          <w:color w:val="0A0A0A"/>
          <w:sz w:val="24"/>
          <w:szCs w:val="24"/>
          <w:lang w:eastAsia="es-MX"/>
        </w:rPr>
      </w:pPr>
    </w:p>
    <w:p w:rsidR="00245649" w:rsidRPr="00245649" w:rsidRDefault="00245649" w:rsidP="00245649">
      <w:pPr>
        <w:shd w:val="clear" w:color="auto" w:fill="FEFEFE"/>
        <w:spacing w:before="100" w:beforeAutospacing="1" w:after="100" w:afterAutospacing="1" w:line="480" w:lineRule="atLeast"/>
        <w:outlineLvl w:val="1"/>
        <w:rPr>
          <w:rFonts w:ascii="Microsoft Sans Serif" w:eastAsia="Times New Roman" w:hAnsi="Microsoft Sans Serif" w:cs="Microsoft Sans Serif"/>
          <w:b/>
          <w:bCs/>
          <w:color w:val="0A0A0A"/>
          <w:sz w:val="39"/>
          <w:szCs w:val="39"/>
          <w:lang w:eastAsia="es-MX"/>
        </w:rPr>
      </w:pPr>
      <w:r w:rsidRPr="00245649">
        <w:rPr>
          <w:rFonts w:ascii="Microsoft Sans Serif" w:eastAsia="Times New Roman" w:hAnsi="Microsoft Sans Serif" w:cs="Microsoft Sans Serif"/>
          <w:b/>
          <w:bCs/>
          <w:color w:val="0A0A0A"/>
          <w:sz w:val="39"/>
          <w:szCs w:val="39"/>
          <w:lang w:eastAsia="es-MX"/>
        </w:rPr>
        <w:t>Definición</w:t>
      </w:r>
    </w:p>
    <w:p w:rsidR="00245649" w:rsidRPr="00245649" w:rsidRDefault="00245649" w:rsidP="00245649">
      <w:pPr>
        <w:shd w:val="clear" w:color="auto" w:fill="FEFEFE"/>
        <w:spacing w:before="195" w:after="510" w:line="240" w:lineRule="auto"/>
        <w:rPr>
          <w:rFonts w:ascii="Arial" w:eastAsia="Times New Roman" w:hAnsi="Arial" w:cs="Arial"/>
          <w:color w:val="0A0A0A"/>
          <w:sz w:val="27"/>
          <w:szCs w:val="27"/>
          <w:lang w:eastAsia="es-MX"/>
        </w:rPr>
      </w:pPr>
      <w:r w:rsidRPr="00245649">
        <w:rPr>
          <w:rFonts w:ascii="Arial" w:eastAsia="Times New Roman" w:hAnsi="Arial" w:cs="Arial"/>
          <w:color w:val="0A0A0A"/>
          <w:sz w:val="27"/>
          <w:szCs w:val="27"/>
          <w:lang w:eastAsia="es-MX"/>
        </w:rPr>
        <w:t xml:space="preserve">El ciclo celular comprende toda una serie de acontecimientos o etapas que tienen lugar en la célula durante su crecimiento y división. Una célula pasa la mayor parte de su tiempo en la etapa llamada </w:t>
      </w:r>
      <w:proofErr w:type="spellStart"/>
      <w:r w:rsidRPr="00245649">
        <w:rPr>
          <w:rFonts w:ascii="Arial" w:eastAsia="Times New Roman" w:hAnsi="Arial" w:cs="Arial"/>
          <w:color w:val="0A0A0A"/>
          <w:sz w:val="27"/>
          <w:szCs w:val="27"/>
          <w:lang w:eastAsia="es-MX"/>
        </w:rPr>
        <w:t>interfase</w:t>
      </w:r>
      <w:proofErr w:type="spellEnd"/>
      <w:r w:rsidRPr="00245649">
        <w:rPr>
          <w:rFonts w:ascii="Arial" w:eastAsia="Times New Roman" w:hAnsi="Arial" w:cs="Arial"/>
          <w:color w:val="0A0A0A"/>
          <w:sz w:val="27"/>
          <w:szCs w:val="27"/>
          <w:lang w:eastAsia="es-MX"/>
        </w:rPr>
        <w:t xml:space="preserve">, y durante este tiempo crece, duplica sus cromosomas y se prepara para una división celular. Una vez terminada la etapa de </w:t>
      </w:r>
      <w:proofErr w:type="spellStart"/>
      <w:r w:rsidRPr="00245649">
        <w:rPr>
          <w:rFonts w:ascii="Arial" w:eastAsia="Times New Roman" w:hAnsi="Arial" w:cs="Arial"/>
          <w:color w:val="0A0A0A"/>
          <w:sz w:val="27"/>
          <w:szCs w:val="27"/>
          <w:lang w:eastAsia="es-MX"/>
        </w:rPr>
        <w:t>interfase</w:t>
      </w:r>
      <w:proofErr w:type="spellEnd"/>
      <w:r w:rsidRPr="00245649">
        <w:rPr>
          <w:rFonts w:ascii="Arial" w:eastAsia="Times New Roman" w:hAnsi="Arial" w:cs="Arial"/>
          <w:color w:val="0A0A0A"/>
          <w:sz w:val="27"/>
          <w:szCs w:val="27"/>
          <w:lang w:eastAsia="es-MX"/>
        </w:rPr>
        <w:t xml:space="preserve">, la célula entra en la mitosis y completa su división. Las células resultantes, llamadas células hijas, empiezan sus respectivas etapas de </w:t>
      </w:r>
      <w:proofErr w:type="spellStart"/>
      <w:r w:rsidRPr="00245649">
        <w:rPr>
          <w:rFonts w:ascii="Arial" w:eastAsia="Times New Roman" w:hAnsi="Arial" w:cs="Arial"/>
          <w:color w:val="0A0A0A"/>
          <w:sz w:val="27"/>
          <w:szCs w:val="27"/>
          <w:lang w:eastAsia="es-MX"/>
        </w:rPr>
        <w:t>interfase</w:t>
      </w:r>
      <w:proofErr w:type="spellEnd"/>
      <w:r w:rsidRPr="00245649">
        <w:rPr>
          <w:rFonts w:ascii="Arial" w:eastAsia="Times New Roman" w:hAnsi="Arial" w:cs="Arial"/>
          <w:color w:val="0A0A0A"/>
          <w:sz w:val="27"/>
          <w:szCs w:val="27"/>
          <w:lang w:eastAsia="es-MX"/>
        </w:rPr>
        <w:t xml:space="preserve"> y empiezan así una nueva serie de ciclos celulares.</w:t>
      </w:r>
    </w:p>
    <w:p w:rsidR="00245649" w:rsidRPr="00245649" w:rsidRDefault="00245649" w:rsidP="00245649">
      <w:pPr>
        <w:shd w:val="clear" w:color="auto" w:fill="FEFEFE"/>
        <w:spacing w:after="0" w:line="240" w:lineRule="auto"/>
        <w:rPr>
          <w:rFonts w:ascii="Arial" w:eastAsia="Times New Roman" w:hAnsi="Arial" w:cs="Arial"/>
          <w:color w:val="0A0A0A"/>
          <w:sz w:val="27"/>
          <w:szCs w:val="27"/>
          <w:lang w:eastAsia="es-MX"/>
        </w:rPr>
      </w:pPr>
      <w:r>
        <w:rPr>
          <w:noProof/>
          <w:lang w:eastAsia="es-MX"/>
        </w:rPr>
        <w:drawing>
          <wp:anchor distT="0" distB="0" distL="114300" distR="114300" simplePos="0" relativeHeight="251658240" behindDoc="1" locked="0" layoutInCell="1" allowOverlap="1">
            <wp:simplePos x="0" y="0"/>
            <wp:positionH relativeFrom="column">
              <wp:posOffset>-80010</wp:posOffset>
            </wp:positionH>
            <wp:positionV relativeFrom="paragraph">
              <wp:posOffset>15240</wp:posOffset>
            </wp:positionV>
            <wp:extent cx="3209925" cy="3429000"/>
            <wp:effectExtent l="0" t="0" r="9525" b="0"/>
            <wp:wrapTight wrapText="bothSides">
              <wp:wrapPolygon edited="0">
                <wp:start x="0" y="0"/>
                <wp:lineTo x="0" y="21480"/>
                <wp:lineTo x="21536" y="21480"/>
                <wp:lineTo x="21536" y="0"/>
                <wp:lineTo x="0" y="0"/>
              </wp:wrapPolygon>
            </wp:wrapTight>
            <wp:docPr id="2" name="Imagen 2" descr="Ciclo celular » Blog de Bi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clo celular » Blog de Biologí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09925" cy="3429000"/>
                    </a:xfrm>
                    <a:prstGeom prst="rect">
                      <a:avLst/>
                    </a:prstGeom>
                    <a:noFill/>
                    <a:ln>
                      <a:noFill/>
                    </a:ln>
                  </pic:spPr>
                </pic:pic>
              </a:graphicData>
            </a:graphic>
          </wp:anchor>
        </w:drawing>
      </w:r>
      <w:r w:rsidRPr="00245649">
        <w:rPr>
          <w:rFonts w:ascii="Arial" w:eastAsia="Times New Roman" w:hAnsi="Arial" w:cs="Arial"/>
          <w:color w:val="0A0A0A"/>
          <w:sz w:val="27"/>
          <w:szCs w:val="27"/>
          <w:lang w:eastAsia="es-MX"/>
        </w:rPr>
        <w:t>El ciclo celular es el nombre con el que se conoce el proceso mediante el cual las células se duplican y dan lugar a dos nuevas células. El ciclo celular tiene distintas fases, que se llaman G1, S, G2 y M. La fase G1 es aquella en que la célula se prepara para dividirse. Para hacerlo, entra en la fase S, que es cuando la célula sintetiza una copia de todo su ADN. Una vez se dispone del ADN duplicado y hay una dotación extra completa del material genético, la célula entra en la fase G2, cuando condensa y organiza el material genético y se prepara para la división celular. El siguiente paso es la fase M, cuando tiene lugar la mitosis. Es decir, la célula reparte las dos copias de su material genético entre sus dos células hijas. Después de haber completado la fase M, se obtienen dos células (de donde había sólo una) y el ciclo celular empieza de nuevo para cada una de ellas.</w:t>
      </w:r>
    </w:p>
    <w:p w:rsidR="009262B8" w:rsidRDefault="009262B8"/>
    <w:p w:rsidR="00245649" w:rsidRDefault="00245649"/>
    <w:p w:rsidR="00245649" w:rsidRPr="00245649" w:rsidRDefault="00245649" w:rsidP="00245649">
      <w:pPr>
        <w:spacing w:after="120" w:line="240" w:lineRule="auto"/>
        <w:outlineLvl w:val="2"/>
        <w:rPr>
          <w:rFonts w:ascii="Arial" w:eastAsia="Times New Roman" w:hAnsi="Arial" w:cs="Arial"/>
          <w:b/>
          <w:bCs/>
          <w:color w:val="333333"/>
          <w:sz w:val="30"/>
          <w:szCs w:val="30"/>
          <w:lang w:eastAsia="es-MX"/>
        </w:rPr>
      </w:pPr>
      <w:r w:rsidRPr="00245649">
        <w:rPr>
          <w:rFonts w:ascii="Arial" w:eastAsia="Times New Roman" w:hAnsi="Arial" w:cs="Arial"/>
          <w:b/>
          <w:bCs/>
          <w:color w:val="333333"/>
          <w:sz w:val="30"/>
          <w:szCs w:val="30"/>
          <w:lang w:eastAsia="es-MX"/>
        </w:rPr>
        <w:lastRenderedPageBreak/>
        <w:t>Puntos de revisión (</w:t>
      </w:r>
      <w:proofErr w:type="spellStart"/>
      <w:r w:rsidRPr="00245649">
        <w:rPr>
          <w:rFonts w:ascii="Arial" w:eastAsia="Times New Roman" w:hAnsi="Arial" w:cs="Arial"/>
          <w:b/>
          <w:bCs/>
          <w:i/>
          <w:iCs/>
          <w:color w:val="333333"/>
          <w:sz w:val="30"/>
          <w:szCs w:val="30"/>
          <w:lang w:eastAsia="es-MX"/>
        </w:rPr>
        <w:t>check</w:t>
      </w:r>
      <w:proofErr w:type="spellEnd"/>
      <w:r w:rsidRPr="00245649">
        <w:rPr>
          <w:rFonts w:ascii="Arial" w:eastAsia="Times New Roman" w:hAnsi="Arial" w:cs="Arial"/>
          <w:b/>
          <w:bCs/>
          <w:i/>
          <w:iCs/>
          <w:color w:val="333333"/>
          <w:sz w:val="30"/>
          <w:szCs w:val="30"/>
          <w:lang w:eastAsia="es-MX"/>
        </w:rPr>
        <w:t xml:space="preserve"> </w:t>
      </w:r>
      <w:proofErr w:type="spellStart"/>
      <w:r w:rsidRPr="00245649">
        <w:rPr>
          <w:rFonts w:ascii="Arial" w:eastAsia="Times New Roman" w:hAnsi="Arial" w:cs="Arial"/>
          <w:b/>
          <w:bCs/>
          <w:i/>
          <w:iCs/>
          <w:color w:val="333333"/>
          <w:sz w:val="30"/>
          <w:szCs w:val="30"/>
          <w:lang w:eastAsia="es-MX"/>
        </w:rPr>
        <w:t>points</w:t>
      </w:r>
      <w:proofErr w:type="spellEnd"/>
      <w:r w:rsidRPr="00245649">
        <w:rPr>
          <w:rFonts w:ascii="Arial" w:eastAsia="Times New Roman" w:hAnsi="Arial" w:cs="Arial"/>
          <w:b/>
          <w:bCs/>
          <w:color w:val="333333"/>
          <w:sz w:val="30"/>
          <w:szCs w:val="30"/>
          <w:lang w:eastAsia="es-MX"/>
        </w:rPr>
        <w:t>)</w:t>
      </w:r>
    </w:p>
    <w:p w:rsidR="00245649" w:rsidRPr="00245649" w:rsidRDefault="00245649" w:rsidP="00245649">
      <w:pPr>
        <w:spacing w:after="100" w:afterAutospacing="1" w:line="240" w:lineRule="auto"/>
        <w:rPr>
          <w:rFonts w:ascii="Arial" w:eastAsia="Times New Roman" w:hAnsi="Arial" w:cs="Arial"/>
          <w:color w:val="343536"/>
          <w:sz w:val="27"/>
          <w:szCs w:val="27"/>
          <w:lang w:eastAsia="es-MX"/>
        </w:rPr>
      </w:pPr>
      <w:bookmarkStart w:id="0" w:name="armendariz_c02_para045"/>
      <w:bookmarkStart w:id="1" w:name="1118678298"/>
      <w:bookmarkEnd w:id="0"/>
      <w:bookmarkEnd w:id="1"/>
      <w:r w:rsidRPr="00245649">
        <w:rPr>
          <w:rFonts w:ascii="Arial" w:eastAsia="Times New Roman" w:hAnsi="Arial" w:cs="Arial"/>
          <w:color w:val="343536"/>
          <w:sz w:val="27"/>
          <w:szCs w:val="27"/>
          <w:lang w:eastAsia="es-MX"/>
        </w:rPr>
        <w:t>Los puntos de revisión son mecanismos que detienen la progresión del ciclo celular en caso de que cualquier ADN cromosómico se dañe o si ciertos procesos no se llevaron a cabo de manera correcta, como la replicación del ADN en la fase S o la alineación cromosómica durante la fase M.</w:t>
      </w:r>
    </w:p>
    <w:p w:rsidR="00245649" w:rsidRPr="00245649" w:rsidRDefault="00245649" w:rsidP="00245649">
      <w:pPr>
        <w:spacing w:after="100" w:afterAutospacing="1" w:line="240" w:lineRule="auto"/>
        <w:rPr>
          <w:rFonts w:ascii="Arial" w:eastAsia="Times New Roman" w:hAnsi="Arial" w:cs="Arial"/>
          <w:color w:val="343536"/>
          <w:sz w:val="27"/>
          <w:szCs w:val="27"/>
          <w:lang w:eastAsia="es-MX"/>
        </w:rPr>
      </w:pPr>
      <w:bookmarkStart w:id="2" w:name="armendariz_c02_para046"/>
      <w:bookmarkStart w:id="3" w:name="1118678299"/>
      <w:bookmarkEnd w:id="2"/>
      <w:bookmarkEnd w:id="3"/>
      <w:r w:rsidRPr="00245649">
        <w:rPr>
          <w:rFonts w:ascii="Arial" w:eastAsia="Times New Roman" w:hAnsi="Arial" w:cs="Arial"/>
          <w:color w:val="343536"/>
          <w:sz w:val="27"/>
          <w:szCs w:val="27"/>
          <w:lang w:eastAsia="es-MX"/>
        </w:rPr>
        <w:t>En estos puntos participan proteínas que, a manera de sensores, reconocen el daño en el ADN y las anormalidades celulares. Si una de estas proteínas detecta un defecto, inicia una respuesta que detiene de forma transitoria el progreso del ciclo celular. Entonces la célula puede reparar el daño o corregir el defecto antes de ingresar a una nueva etapa. En caso de que el daño sea mayor y no sea posible repararlo, el mecanismo de revisión transmite una señal que conduce a la muerte de la célula dañada. Los principales puntos de control se encuentran ubicados en G</w:t>
      </w:r>
      <w:r w:rsidRPr="00245649">
        <w:rPr>
          <w:rFonts w:ascii="Arial" w:eastAsia="Times New Roman" w:hAnsi="Arial" w:cs="Arial"/>
          <w:color w:val="343536"/>
          <w:sz w:val="20"/>
          <w:szCs w:val="20"/>
          <w:vertAlign w:val="subscript"/>
          <w:lang w:eastAsia="es-MX"/>
        </w:rPr>
        <w:t>1</w:t>
      </w:r>
      <w:r w:rsidRPr="00245649">
        <w:rPr>
          <w:rFonts w:ascii="Arial" w:eastAsia="Times New Roman" w:hAnsi="Arial" w:cs="Arial"/>
          <w:color w:val="343536"/>
          <w:sz w:val="27"/>
          <w:szCs w:val="27"/>
          <w:lang w:eastAsia="es-MX"/>
        </w:rPr>
        <w:t> antes de la síntesis de ADN, en G</w:t>
      </w:r>
      <w:r w:rsidRPr="00245649">
        <w:rPr>
          <w:rFonts w:ascii="Arial" w:eastAsia="Times New Roman" w:hAnsi="Arial" w:cs="Arial"/>
          <w:color w:val="343536"/>
          <w:sz w:val="20"/>
          <w:szCs w:val="20"/>
          <w:vertAlign w:val="subscript"/>
          <w:lang w:eastAsia="es-MX"/>
        </w:rPr>
        <w:t>2</w:t>
      </w:r>
      <w:r w:rsidRPr="00245649">
        <w:rPr>
          <w:rFonts w:ascii="Arial" w:eastAsia="Times New Roman" w:hAnsi="Arial" w:cs="Arial"/>
          <w:color w:val="343536"/>
          <w:sz w:val="27"/>
          <w:szCs w:val="27"/>
          <w:lang w:eastAsia="es-MX"/>
        </w:rPr>
        <w:t> antes de la mitosis y en la mitosis durante la metafase (</w:t>
      </w:r>
      <w:hyperlink r:id="rId5" w:anchor="armendariz_c02_fig005" w:history="1">
        <w:r w:rsidRPr="00245649">
          <w:rPr>
            <w:rFonts w:ascii="Arial" w:eastAsia="Times New Roman" w:hAnsi="Arial" w:cs="Arial"/>
            <w:color w:val="005E8D"/>
            <w:sz w:val="27"/>
            <w:szCs w:val="27"/>
            <w:u w:val="single"/>
            <w:lang w:eastAsia="es-MX"/>
          </w:rPr>
          <w:t>figura 2-5</w:t>
        </w:r>
      </w:hyperlink>
      <w:r w:rsidRPr="00245649">
        <w:rPr>
          <w:rFonts w:ascii="Arial" w:eastAsia="Times New Roman" w:hAnsi="Arial" w:cs="Arial"/>
          <w:color w:val="343536"/>
          <w:sz w:val="27"/>
          <w:szCs w:val="27"/>
          <w:lang w:eastAsia="es-MX"/>
        </w:rPr>
        <w:t>).</w:t>
      </w:r>
    </w:p>
    <w:p w:rsidR="00245649" w:rsidRPr="00245649" w:rsidRDefault="00245649" w:rsidP="00245649">
      <w:pPr>
        <w:shd w:val="clear" w:color="auto" w:fill="F7F7F7"/>
        <w:spacing w:after="0" w:line="240" w:lineRule="auto"/>
        <w:jc w:val="center"/>
        <w:rPr>
          <w:rFonts w:ascii="Arial" w:eastAsia="Times New Roman" w:hAnsi="Arial" w:cs="Arial"/>
          <w:color w:val="333333"/>
          <w:sz w:val="24"/>
          <w:szCs w:val="24"/>
          <w:lang w:eastAsia="es-MX"/>
        </w:rPr>
      </w:pPr>
      <w:bookmarkStart w:id="4" w:name="1118678300"/>
      <w:bookmarkStart w:id="5" w:name=""/>
      <w:bookmarkStart w:id="6" w:name="armendariz_c02_fig005"/>
      <w:bookmarkStart w:id="7" w:name="Armendariz_ch02_Fig-02-05.png"/>
      <w:bookmarkStart w:id="8" w:name="_GoBack"/>
      <w:bookmarkEnd w:id="4"/>
      <w:bookmarkEnd w:id="5"/>
      <w:bookmarkEnd w:id="6"/>
      <w:bookmarkEnd w:id="7"/>
      <w:bookmarkEnd w:id="8"/>
      <w:r>
        <w:rPr>
          <w:noProof/>
          <w:lang w:eastAsia="es-MX"/>
        </w:rPr>
        <w:lastRenderedPageBreak/>
        <w:drawing>
          <wp:inline distT="0" distB="0" distL="0" distR="0" wp14:anchorId="452D1D64" wp14:editId="2675D39B">
            <wp:extent cx="5884502" cy="6638925"/>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5302" t="14182" r="31602" b="19434"/>
                    <a:stretch/>
                  </pic:blipFill>
                  <pic:spPr bwMode="auto">
                    <a:xfrm>
                      <a:off x="0" y="0"/>
                      <a:ext cx="5909397" cy="6667011"/>
                    </a:xfrm>
                    <a:prstGeom prst="rect">
                      <a:avLst/>
                    </a:prstGeom>
                    <a:ln>
                      <a:noFill/>
                    </a:ln>
                    <a:extLst>
                      <a:ext uri="{53640926-AAD7-44D8-BBD7-CCE9431645EC}">
                        <a14:shadowObscured xmlns:a14="http://schemas.microsoft.com/office/drawing/2010/main"/>
                      </a:ext>
                    </a:extLst>
                  </pic:spPr>
                </pic:pic>
              </a:graphicData>
            </a:graphic>
          </wp:inline>
        </w:drawing>
      </w:r>
    </w:p>
    <w:p w:rsidR="00245649" w:rsidRDefault="00245649"/>
    <w:p w:rsidR="00245649" w:rsidRDefault="00245649"/>
    <w:p w:rsidR="00245649" w:rsidRDefault="00245649">
      <w:r>
        <w:rPr>
          <w:rFonts w:ascii="Arial" w:hAnsi="Arial" w:cs="Arial"/>
          <w:color w:val="000000"/>
        </w:rPr>
        <w:t>El proceso conocido como ciclo celular es de gran importancia para la célula ya que tiene como función la formación completa de una nueva célula, evitando en lo posible la creación de células con múltiples errores, lo cual le permite al organismo permanecer en un constante equilibrio, previniendo así aquellos desórdenes que puedan perjudicar su salud; de esta </w:t>
      </w:r>
    </w:p>
    <w:sectPr w:rsidR="002456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649"/>
    <w:rsid w:val="00245649"/>
    <w:rsid w:val="009262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CC1D8-4768-464F-A2EA-8A26515B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2456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245649"/>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2456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semiHidden/>
    <w:unhideWhenUsed/>
    <w:qFormat/>
    <w:rsid w:val="0024564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5649"/>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245649"/>
    <w:rPr>
      <w:rFonts w:ascii="Times New Roman" w:eastAsia="Times New Roman" w:hAnsi="Times New Roman" w:cs="Times New Roman"/>
      <w:b/>
      <w:bCs/>
      <w:sz w:val="36"/>
      <w:szCs w:val="36"/>
      <w:lang w:eastAsia="es-MX"/>
    </w:rPr>
  </w:style>
  <w:style w:type="character" w:customStyle="1" w:styleId="tg-date">
    <w:name w:val="tg-date"/>
    <w:basedOn w:val="Fuentedeprrafopredeter"/>
    <w:rsid w:val="00245649"/>
  </w:style>
  <w:style w:type="paragraph" w:customStyle="1" w:styleId="dm">
    <w:name w:val="dm"/>
    <w:basedOn w:val="Normal"/>
    <w:rsid w:val="0024564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semiHidden/>
    <w:rsid w:val="00245649"/>
    <w:rPr>
      <w:rFonts w:asciiTheme="majorHAnsi" w:eastAsiaTheme="majorEastAsia" w:hAnsiTheme="majorHAnsi" w:cstheme="majorBidi"/>
      <w:color w:val="1F4D78" w:themeColor="accent1" w:themeShade="7F"/>
      <w:sz w:val="24"/>
      <w:szCs w:val="24"/>
    </w:rPr>
  </w:style>
  <w:style w:type="character" w:customStyle="1" w:styleId="Ttulo6Car">
    <w:name w:val="Título 6 Car"/>
    <w:basedOn w:val="Fuentedeprrafopredeter"/>
    <w:link w:val="Ttulo6"/>
    <w:uiPriority w:val="9"/>
    <w:semiHidden/>
    <w:rsid w:val="00245649"/>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315875">
      <w:bodyDiv w:val="1"/>
      <w:marLeft w:val="0"/>
      <w:marRight w:val="0"/>
      <w:marTop w:val="0"/>
      <w:marBottom w:val="0"/>
      <w:divBdr>
        <w:top w:val="none" w:sz="0" w:space="0" w:color="auto"/>
        <w:left w:val="none" w:sz="0" w:space="0" w:color="auto"/>
        <w:bottom w:val="none" w:sz="0" w:space="0" w:color="auto"/>
        <w:right w:val="none" w:sz="0" w:space="0" w:color="auto"/>
      </w:divBdr>
      <w:divsChild>
        <w:div w:id="1119186294">
          <w:marLeft w:val="0"/>
          <w:marRight w:val="0"/>
          <w:marTop w:val="0"/>
          <w:marBottom w:val="0"/>
          <w:divBdr>
            <w:top w:val="none" w:sz="0" w:space="0" w:color="auto"/>
            <w:left w:val="none" w:sz="0" w:space="0" w:color="auto"/>
            <w:bottom w:val="none" w:sz="0" w:space="0" w:color="auto"/>
            <w:right w:val="none" w:sz="0" w:space="0" w:color="auto"/>
          </w:divBdr>
        </w:div>
        <w:div w:id="12075882">
          <w:marLeft w:val="0"/>
          <w:marRight w:val="0"/>
          <w:marTop w:val="0"/>
          <w:marBottom w:val="0"/>
          <w:divBdr>
            <w:top w:val="none" w:sz="0" w:space="0" w:color="auto"/>
            <w:left w:val="none" w:sz="0" w:space="0" w:color="auto"/>
            <w:bottom w:val="none" w:sz="0" w:space="0" w:color="auto"/>
            <w:right w:val="none" w:sz="0" w:space="0" w:color="auto"/>
          </w:divBdr>
        </w:div>
        <w:div w:id="1596671105">
          <w:marLeft w:val="0"/>
          <w:marRight w:val="0"/>
          <w:marTop w:val="0"/>
          <w:marBottom w:val="0"/>
          <w:divBdr>
            <w:top w:val="none" w:sz="0" w:space="0" w:color="auto"/>
            <w:left w:val="none" w:sz="0" w:space="0" w:color="auto"/>
            <w:bottom w:val="none" w:sz="0" w:space="0" w:color="auto"/>
            <w:right w:val="none" w:sz="0" w:space="0" w:color="auto"/>
          </w:divBdr>
        </w:div>
        <w:div w:id="1107383249">
          <w:marLeft w:val="0"/>
          <w:marRight w:val="0"/>
          <w:marTop w:val="0"/>
          <w:marBottom w:val="0"/>
          <w:divBdr>
            <w:top w:val="none" w:sz="0" w:space="0" w:color="auto"/>
            <w:left w:val="none" w:sz="0" w:space="0" w:color="auto"/>
            <w:bottom w:val="none" w:sz="0" w:space="0" w:color="auto"/>
            <w:right w:val="none" w:sz="0" w:space="0" w:color="auto"/>
          </w:divBdr>
          <w:divsChild>
            <w:div w:id="507528357">
              <w:marLeft w:val="0"/>
              <w:marRight w:val="0"/>
              <w:marTop w:val="0"/>
              <w:marBottom w:val="0"/>
              <w:divBdr>
                <w:top w:val="none" w:sz="0" w:space="0" w:color="auto"/>
                <w:left w:val="none" w:sz="0" w:space="0" w:color="auto"/>
                <w:bottom w:val="none" w:sz="0" w:space="0" w:color="auto"/>
                <w:right w:val="none" w:sz="0" w:space="0" w:color="auto"/>
              </w:divBdr>
            </w:div>
            <w:div w:id="292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0531">
      <w:bodyDiv w:val="1"/>
      <w:marLeft w:val="0"/>
      <w:marRight w:val="0"/>
      <w:marTop w:val="0"/>
      <w:marBottom w:val="0"/>
      <w:divBdr>
        <w:top w:val="none" w:sz="0" w:space="0" w:color="auto"/>
        <w:left w:val="none" w:sz="0" w:space="0" w:color="auto"/>
        <w:bottom w:val="none" w:sz="0" w:space="0" w:color="auto"/>
        <w:right w:val="none" w:sz="0" w:space="0" w:color="auto"/>
      </w:divBdr>
      <w:divsChild>
        <w:div w:id="1758752050">
          <w:marLeft w:val="0"/>
          <w:marRight w:val="0"/>
          <w:marTop w:val="0"/>
          <w:marBottom w:val="0"/>
          <w:divBdr>
            <w:top w:val="none" w:sz="0" w:space="0" w:color="auto"/>
            <w:left w:val="none" w:sz="0" w:space="0" w:color="auto"/>
            <w:bottom w:val="none" w:sz="0" w:space="0" w:color="auto"/>
            <w:right w:val="none" w:sz="0" w:space="0" w:color="auto"/>
          </w:divBdr>
          <w:divsChild>
            <w:div w:id="1410418662">
              <w:marLeft w:val="0"/>
              <w:marRight w:val="0"/>
              <w:marTop w:val="0"/>
              <w:marBottom w:val="0"/>
              <w:divBdr>
                <w:top w:val="none" w:sz="0" w:space="0" w:color="auto"/>
                <w:left w:val="none" w:sz="0" w:space="0" w:color="auto"/>
                <w:bottom w:val="none" w:sz="0" w:space="0" w:color="auto"/>
                <w:right w:val="none" w:sz="0" w:space="0" w:color="auto"/>
              </w:divBdr>
              <w:divsChild>
                <w:div w:id="841168895">
                  <w:marLeft w:val="0"/>
                  <w:marRight w:val="0"/>
                  <w:marTop w:val="0"/>
                  <w:marBottom w:val="0"/>
                  <w:divBdr>
                    <w:top w:val="none" w:sz="0" w:space="0" w:color="auto"/>
                    <w:left w:val="none" w:sz="0" w:space="0" w:color="auto"/>
                    <w:bottom w:val="none" w:sz="0" w:space="0" w:color="auto"/>
                    <w:right w:val="none" w:sz="0" w:space="0" w:color="auto"/>
                  </w:divBdr>
                  <w:divsChild>
                    <w:div w:id="6174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1669">
          <w:marLeft w:val="0"/>
          <w:marRight w:val="0"/>
          <w:marTop w:val="750"/>
          <w:marBottom w:val="750"/>
          <w:divBdr>
            <w:top w:val="none" w:sz="0" w:space="0" w:color="auto"/>
            <w:left w:val="none" w:sz="0" w:space="0" w:color="auto"/>
            <w:bottom w:val="none" w:sz="0" w:space="0" w:color="auto"/>
            <w:right w:val="none" w:sz="0" w:space="0" w:color="auto"/>
          </w:divBdr>
          <w:divsChild>
            <w:div w:id="692875437">
              <w:marLeft w:val="0"/>
              <w:marRight w:val="0"/>
              <w:marTop w:val="0"/>
              <w:marBottom w:val="0"/>
              <w:divBdr>
                <w:top w:val="none" w:sz="0" w:space="0" w:color="auto"/>
                <w:left w:val="none" w:sz="0" w:space="0" w:color="auto"/>
                <w:bottom w:val="none" w:sz="0" w:space="0" w:color="auto"/>
                <w:right w:val="none" w:sz="0" w:space="0" w:color="auto"/>
              </w:divBdr>
              <w:divsChild>
                <w:div w:id="1384988318">
                  <w:marLeft w:val="0"/>
                  <w:marRight w:val="0"/>
                  <w:marTop w:val="0"/>
                  <w:marBottom w:val="0"/>
                  <w:divBdr>
                    <w:top w:val="none" w:sz="0" w:space="0" w:color="auto"/>
                    <w:left w:val="none" w:sz="0" w:space="0" w:color="auto"/>
                    <w:bottom w:val="none" w:sz="0" w:space="0" w:color="auto"/>
                    <w:right w:val="none" w:sz="0" w:space="0" w:color="auto"/>
                  </w:divBdr>
                </w:div>
                <w:div w:id="1648128693">
                  <w:marLeft w:val="0"/>
                  <w:marRight w:val="0"/>
                  <w:marTop w:val="0"/>
                  <w:marBottom w:val="0"/>
                  <w:divBdr>
                    <w:top w:val="none" w:sz="0" w:space="0" w:color="auto"/>
                    <w:left w:val="none" w:sz="0" w:space="0" w:color="auto"/>
                    <w:bottom w:val="none" w:sz="0" w:space="0" w:color="auto"/>
                    <w:right w:val="none" w:sz="0" w:space="0" w:color="auto"/>
                  </w:divBdr>
                  <w:divsChild>
                    <w:div w:id="14214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6074">
              <w:marLeft w:val="0"/>
              <w:marRight w:val="0"/>
              <w:marTop w:val="750"/>
              <w:marBottom w:val="750"/>
              <w:divBdr>
                <w:top w:val="single" w:sz="6" w:space="26" w:color="C2C2C2"/>
                <w:left w:val="none" w:sz="0" w:space="0" w:color="auto"/>
                <w:bottom w:val="none" w:sz="0" w:space="0" w:color="auto"/>
                <w:right w:val="none" w:sz="0" w:space="0" w:color="auto"/>
              </w:divBdr>
              <w:divsChild>
                <w:div w:id="1103961260">
                  <w:marLeft w:val="0"/>
                  <w:marRight w:val="0"/>
                  <w:marTop w:val="450"/>
                  <w:marBottom w:val="750"/>
                  <w:divBdr>
                    <w:top w:val="none" w:sz="0" w:space="0" w:color="auto"/>
                    <w:left w:val="none" w:sz="0" w:space="0" w:color="auto"/>
                    <w:bottom w:val="none" w:sz="0" w:space="0" w:color="auto"/>
                    <w:right w:val="none" w:sz="0" w:space="0" w:color="auto"/>
                  </w:divBdr>
                </w:div>
                <w:div w:id="364065688">
                  <w:marLeft w:val="0"/>
                  <w:marRight w:val="0"/>
                  <w:marTop w:val="0"/>
                  <w:marBottom w:val="0"/>
                  <w:divBdr>
                    <w:top w:val="none" w:sz="0" w:space="0" w:color="auto"/>
                    <w:left w:val="none" w:sz="0" w:space="0" w:color="auto"/>
                    <w:bottom w:val="none" w:sz="0" w:space="0" w:color="auto"/>
                    <w:right w:val="none" w:sz="0" w:space="0" w:color="auto"/>
                  </w:divBdr>
                  <w:divsChild>
                    <w:div w:id="913396222">
                      <w:marLeft w:val="0"/>
                      <w:marRight w:val="0"/>
                      <w:marTop w:val="450"/>
                      <w:marBottom w:val="750"/>
                      <w:divBdr>
                        <w:top w:val="none" w:sz="0" w:space="0" w:color="auto"/>
                        <w:left w:val="none" w:sz="0" w:space="0" w:color="auto"/>
                        <w:bottom w:val="none" w:sz="0" w:space="0" w:color="auto"/>
                        <w:right w:val="none" w:sz="0" w:space="0" w:color="auto"/>
                      </w:divBdr>
                      <w:divsChild>
                        <w:div w:id="133178264">
                          <w:marLeft w:val="360"/>
                          <w:marRight w:val="0"/>
                          <w:marTop w:val="0"/>
                          <w:marBottom w:val="0"/>
                          <w:divBdr>
                            <w:top w:val="none" w:sz="0" w:space="0" w:color="auto"/>
                            <w:left w:val="none" w:sz="0" w:space="0" w:color="auto"/>
                            <w:bottom w:val="none" w:sz="0" w:space="0" w:color="auto"/>
                            <w:right w:val="none" w:sz="0" w:space="0" w:color="auto"/>
                          </w:divBdr>
                        </w:div>
                        <w:div w:id="29727169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5864">
      <w:bodyDiv w:val="1"/>
      <w:marLeft w:val="0"/>
      <w:marRight w:val="0"/>
      <w:marTop w:val="0"/>
      <w:marBottom w:val="0"/>
      <w:divBdr>
        <w:top w:val="none" w:sz="0" w:space="0" w:color="auto"/>
        <w:left w:val="none" w:sz="0" w:space="0" w:color="auto"/>
        <w:bottom w:val="none" w:sz="0" w:space="0" w:color="auto"/>
        <w:right w:val="none" w:sz="0" w:space="0" w:color="auto"/>
      </w:divBdr>
      <w:divsChild>
        <w:div w:id="530726424">
          <w:marLeft w:val="0"/>
          <w:marRight w:val="0"/>
          <w:marTop w:val="0"/>
          <w:marBottom w:val="0"/>
          <w:divBdr>
            <w:top w:val="none" w:sz="0" w:space="0" w:color="auto"/>
            <w:left w:val="none" w:sz="0" w:space="0" w:color="auto"/>
            <w:bottom w:val="none" w:sz="0" w:space="0" w:color="auto"/>
            <w:right w:val="none" w:sz="0" w:space="0" w:color="auto"/>
          </w:divBdr>
        </w:div>
        <w:div w:id="1178303646">
          <w:marLeft w:val="0"/>
          <w:marRight w:val="0"/>
          <w:marTop w:val="0"/>
          <w:marBottom w:val="0"/>
          <w:divBdr>
            <w:top w:val="none" w:sz="0" w:space="0" w:color="auto"/>
            <w:left w:val="none" w:sz="0" w:space="0" w:color="auto"/>
            <w:bottom w:val="none" w:sz="0" w:space="0" w:color="auto"/>
            <w:right w:val="none" w:sz="0" w:space="0" w:color="auto"/>
          </w:divBdr>
        </w:div>
        <w:div w:id="1527521167">
          <w:marLeft w:val="0"/>
          <w:marRight w:val="0"/>
          <w:marTop w:val="0"/>
          <w:marBottom w:val="0"/>
          <w:divBdr>
            <w:top w:val="none" w:sz="0" w:space="0" w:color="auto"/>
            <w:left w:val="none" w:sz="0" w:space="0" w:color="auto"/>
            <w:bottom w:val="none" w:sz="0" w:space="0" w:color="auto"/>
            <w:right w:val="none" w:sz="0" w:space="0" w:color="auto"/>
          </w:divBdr>
        </w:div>
        <w:div w:id="844318581">
          <w:marLeft w:val="0"/>
          <w:marRight w:val="0"/>
          <w:marTop w:val="0"/>
          <w:marBottom w:val="0"/>
          <w:divBdr>
            <w:top w:val="none" w:sz="0" w:space="0" w:color="auto"/>
            <w:left w:val="none" w:sz="0" w:space="0" w:color="auto"/>
            <w:bottom w:val="none" w:sz="0" w:space="0" w:color="auto"/>
            <w:right w:val="none" w:sz="0" w:space="0" w:color="auto"/>
          </w:divBdr>
          <w:divsChild>
            <w:div w:id="1310937497">
              <w:marLeft w:val="0"/>
              <w:marRight w:val="0"/>
              <w:marTop w:val="0"/>
              <w:marBottom w:val="0"/>
              <w:divBdr>
                <w:top w:val="none" w:sz="0" w:space="0" w:color="auto"/>
                <w:left w:val="none" w:sz="0" w:space="0" w:color="auto"/>
                <w:bottom w:val="none" w:sz="0" w:space="0" w:color="auto"/>
                <w:right w:val="none" w:sz="0" w:space="0" w:color="auto"/>
              </w:divBdr>
            </w:div>
            <w:div w:id="20980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accessmedicina.mhmedical.com/content.aspx?bookid=1473&amp;sectionid=102742378"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452</Words>
  <Characters>2489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Conalep CiudadAzteca</dc:creator>
  <cp:keywords/>
  <dc:description/>
  <cp:lastModifiedBy>Conalep CiudadAzteca</cp:lastModifiedBy>
  <cp:revision>1</cp:revision>
  <dcterms:created xsi:type="dcterms:W3CDTF">2023-01-24T13:59:00Z</dcterms:created>
  <dcterms:modified xsi:type="dcterms:W3CDTF">2023-01-24T14:14:00Z</dcterms:modified>
</cp:coreProperties>
</file>